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6A" w:rsidRPr="00B658CB" w:rsidRDefault="00095AD3" w:rsidP="00B6436A">
      <w:pPr>
        <w:pStyle w:val="PlainTex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The Cairngorms Equality and Inclusion Advisory Group</w:t>
      </w:r>
    </w:p>
    <w:p w:rsidR="00B6436A" w:rsidRPr="00B6436A" w:rsidRDefault="00B6436A" w:rsidP="00B6436A">
      <w:pPr>
        <w:pStyle w:val="PlainText"/>
        <w:rPr>
          <w:rFonts w:ascii="Gill Sans MT" w:hAnsi="Gill Sans MT"/>
          <w:sz w:val="24"/>
          <w:szCs w:val="24"/>
        </w:rPr>
      </w:pPr>
    </w:p>
    <w:p w:rsidR="00B6436A" w:rsidRPr="00547034" w:rsidRDefault="00B6436A" w:rsidP="00B6436A">
      <w:pPr>
        <w:pStyle w:val="PlainText"/>
        <w:rPr>
          <w:rFonts w:ascii="Gill Sans MT" w:hAnsi="Gill Sans MT"/>
          <w:b/>
          <w:sz w:val="24"/>
          <w:szCs w:val="24"/>
          <w:u w:val="single"/>
        </w:rPr>
      </w:pPr>
      <w:r w:rsidRPr="00547034">
        <w:rPr>
          <w:rFonts w:ascii="Gill Sans MT" w:hAnsi="Gill Sans MT"/>
          <w:b/>
          <w:sz w:val="24"/>
          <w:szCs w:val="24"/>
          <w:u w:val="single"/>
        </w:rPr>
        <w:t xml:space="preserve">Terms of Reference. </w:t>
      </w:r>
    </w:p>
    <w:p w:rsidR="00B6436A" w:rsidRDefault="00B6436A" w:rsidP="00B6436A">
      <w:pPr>
        <w:pStyle w:val="PlainText"/>
        <w:rPr>
          <w:rFonts w:ascii="Gill Sans MT" w:hAnsi="Gill Sans MT"/>
          <w:sz w:val="24"/>
          <w:szCs w:val="24"/>
        </w:rPr>
      </w:pPr>
    </w:p>
    <w:p w:rsidR="00547034" w:rsidRPr="00547034" w:rsidRDefault="00547034" w:rsidP="00B6436A">
      <w:pPr>
        <w:pStyle w:val="PlainText"/>
        <w:rPr>
          <w:rFonts w:ascii="Gill Sans MT" w:hAnsi="Gill Sans MT"/>
          <w:b/>
          <w:sz w:val="24"/>
          <w:szCs w:val="24"/>
        </w:rPr>
      </w:pPr>
      <w:r w:rsidRPr="00547034">
        <w:rPr>
          <w:rFonts w:ascii="Gill Sans MT" w:hAnsi="Gill Sans MT"/>
          <w:b/>
          <w:sz w:val="24"/>
          <w:szCs w:val="24"/>
        </w:rPr>
        <w:t>Purpose</w:t>
      </w:r>
    </w:p>
    <w:p w:rsidR="00547034" w:rsidRDefault="00547034" w:rsidP="00412EB9">
      <w:pPr>
        <w:pStyle w:val="PlainText"/>
        <w:rPr>
          <w:rFonts w:ascii="Gill Sans MT" w:hAnsi="Gill Sans MT"/>
          <w:sz w:val="24"/>
          <w:szCs w:val="24"/>
        </w:rPr>
      </w:pPr>
    </w:p>
    <w:p w:rsidR="00B6436A" w:rsidRDefault="00B6436A" w:rsidP="00412EB9">
      <w:pPr>
        <w:pStyle w:val="PlainText"/>
        <w:rPr>
          <w:rFonts w:ascii="Gill Sans MT" w:hAnsi="Gill Sans MT"/>
          <w:sz w:val="24"/>
          <w:szCs w:val="24"/>
        </w:rPr>
      </w:pPr>
      <w:r w:rsidRPr="00B6436A">
        <w:rPr>
          <w:rFonts w:ascii="Gill Sans MT" w:hAnsi="Gill Sans MT"/>
          <w:sz w:val="24"/>
          <w:szCs w:val="24"/>
        </w:rPr>
        <w:t xml:space="preserve">The Cairngorms </w:t>
      </w:r>
      <w:r w:rsidR="00095AD3">
        <w:rPr>
          <w:rFonts w:ascii="Gill Sans MT" w:hAnsi="Gill Sans MT"/>
          <w:sz w:val="24"/>
          <w:szCs w:val="24"/>
        </w:rPr>
        <w:t xml:space="preserve">Equality </w:t>
      </w:r>
      <w:r w:rsidR="00547034">
        <w:rPr>
          <w:rFonts w:ascii="Gill Sans MT" w:hAnsi="Gill Sans MT"/>
          <w:sz w:val="24"/>
          <w:szCs w:val="24"/>
        </w:rPr>
        <w:t xml:space="preserve">and Inclusion </w:t>
      </w:r>
      <w:r w:rsidR="00095AD3">
        <w:rPr>
          <w:rFonts w:ascii="Gill Sans MT" w:hAnsi="Gill Sans MT"/>
          <w:sz w:val="24"/>
          <w:szCs w:val="24"/>
        </w:rPr>
        <w:t xml:space="preserve">Advisory Group </w:t>
      </w:r>
      <w:r w:rsidRPr="00B6436A">
        <w:rPr>
          <w:rFonts w:ascii="Gill Sans MT" w:hAnsi="Gill Sans MT"/>
          <w:sz w:val="24"/>
          <w:szCs w:val="24"/>
        </w:rPr>
        <w:t xml:space="preserve">is established </w:t>
      </w:r>
      <w:r w:rsidR="00095AD3">
        <w:rPr>
          <w:rFonts w:ascii="Gill Sans MT" w:hAnsi="Gill Sans MT"/>
          <w:sz w:val="24"/>
          <w:szCs w:val="24"/>
        </w:rPr>
        <w:t xml:space="preserve">to </w:t>
      </w:r>
      <w:r w:rsidR="00412EB9">
        <w:rPr>
          <w:rFonts w:ascii="Gill Sans MT" w:hAnsi="Gill Sans MT"/>
          <w:sz w:val="24"/>
          <w:szCs w:val="24"/>
        </w:rPr>
        <w:t>provide</w:t>
      </w:r>
      <w:r w:rsidR="00095AD3" w:rsidRPr="00095AD3">
        <w:rPr>
          <w:rFonts w:ascii="Gill Sans MT" w:hAnsi="Gill Sans MT"/>
          <w:sz w:val="24"/>
          <w:szCs w:val="24"/>
        </w:rPr>
        <w:t xml:space="preserve"> evidence-based feedback, guidance</w:t>
      </w:r>
      <w:r w:rsidR="00412EB9">
        <w:rPr>
          <w:rFonts w:ascii="Gill Sans MT" w:hAnsi="Gill Sans MT"/>
          <w:sz w:val="24"/>
          <w:szCs w:val="24"/>
        </w:rPr>
        <w:t xml:space="preserve"> and advice to support</w:t>
      </w:r>
      <w:r w:rsidR="00095AD3">
        <w:rPr>
          <w:rFonts w:ascii="Gill Sans MT" w:hAnsi="Gill Sans MT"/>
          <w:sz w:val="24"/>
          <w:szCs w:val="24"/>
        </w:rPr>
        <w:t xml:space="preserve"> CNPA</w:t>
      </w:r>
      <w:r w:rsidR="00412EB9">
        <w:rPr>
          <w:rFonts w:ascii="Gill Sans MT" w:hAnsi="Gill Sans MT"/>
          <w:sz w:val="24"/>
          <w:szCs w:val="24"/>
        </w:rPr>
        <w:t xml:space="preserve"> to: </w:t>
      </w:r>
    </w:p>
    <w:p w:rsidR="00412EB9" w:rsidRDefault="00412EB9" w:rsidP="00412EB9">
      <w:pPr>
        <w:pStyle w:val="PlainText"/>
        <w:rPr>
          <w:rFonts w:ascii="Gill Sans MT" w:hAnsi="Gill Sans MT"/>
          <w:sz w:val="24"/>
          <w:szCs w:val="24"/>
        </w:rPr>
      </w:pPr>
    </w:p>
    <w:p w:rsidR="00412EB9" w:rsidRDefault="00412EB9" w:rsidP="007A7BBC">
      <w:pPr>
        <w:pStyle w:val="PlainText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Ensure statutory public sector equality duties are delivered in accordance with The Equality Act 2010</w:t>
      </w:r>
      <w:r w:rsidR="007A7BBC">
        <w:rPr>
          <w:rFonts w:ascii="Gill Sans MT" w:hAnsi="Gill Sans MT"/>
          <w:sz w:val="24"/>
          <w:szCs w:val="24"/>
        </w:rPr>
        <w:t xml:space="preserve"> (and other relevant equality legislation e.g. Human Rights Act 1998) </w:t>
      </w:r>
    </w:p>
    <w:p w:rsidR="00412EB9" w:rsidRDefault="00412EB9" w:rsidP="007A7BBC">
      <w:pPr>
        <w:pStyle w:val="PlainText"/>
        <w:ind w:left="720"/>
        <w:rPr>
          <w:rFonts w:ascii="Gill Sans MT" w:hAnsi="Gill Sans MT"/>
          <w:sz w:val="24"/>
          <w:szCs w:val="24"/>
        </w:rPr>
      </w:pPr>
    </w:p>
    <w:p w:rsidR="00412EB9" w:rsidRDefault="00412EB9" w:rsidP="007A7BBC">
      <w:pPr>
        <w:pStyle w:val="PlainText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Embed Equality and Inclusion in their corporate planning processes.  </w:t>
      </w:r>
    </w:p>
    <w:p w:rsidR="00412EB9" w:rsidRDefault="00412EB9" w:rsidP="007A7BBC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412EB9" w:rsidRDefault="007A7BBC" w:rsidP="007A7BBC">
      <w:pPr>
        <w:pStyle w:val="PlainText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Critically a</w:t>
      </w:r>
      <w:r w:rsidR="00412EB9">
        <w:rPr>
          <w:rFonts w:ascii="Gill Sans MT" w:hAnsi="Gill Sans MT"/>
          <w:sz w:val="24"/>
          <w:szCs w:val="24"/>
        </w:rPr>
        <w:t>ssess and</w:t>
      </w:r>
      <w:r>
        <w:rPr>
          <w:rFonts w:ascii="Gill Sans MT" w:hAnsi="Gill Sans MT"/>
          <w:sz w:val="24"/>
          <w:szCs w:val="24"/>
        </w:rPr>
        <w:t xml:space="preserve"> appropriately mitigate impact of CNPA decisions on equality groups through robust equality impact assessment procedures. </w:t>
      </w:r>
    </w:p>
    <w:p w:rsidR="00412EB9" w:rsidRDefault="00412EB9" w:rsidP="007A7BBC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412EB9" w:rsidRDefault="007A7BBC" w:rsidP="007A7BBC">
      <w:pPr>
        <w:pStyle w:val="PlainText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Ensure</w:t>
      </w:r>
      <w:r w:rsidR="00412EB9">
        <w:rPr>
          <w:rFonts w:ascii="Gill Sans MT" w:hAnsi="Gill Sans MT"/>
          <w:sz w:val="24"/>
          <w:szCs w:val="24"/>
        </w:rPr>
        <w:t xml:space="preserve"> best practice</w:t>
      </w:r>
      <w:r>
        <w:rPr>
          <w:rFonts w:ascii="Gill Sans MT" w:hAnsi="Gill Sans MT"/>
          <w:sz w:val="24"/>
          <w:szCs w:val="24"/>
        </w:rPr>
        <w:t xml:space="preserve"> in</w:t>
      </w:r>
      <w:r w:rsidR="00412EB9">
        <w:rPr>
          <w:rFonts w:ascii="Gill Sans MT" w:hAnsi="Gill Sans MT"/>
          <w:sz w:val="24"/>
          <w:szCs w:val="24"/>
        </w:rPr>
        <w:t xml:space="preserve"> equality and inclusion approaches to their work.</w:t>
      </w:r>
    </w:p>
    <w:p w:rsidR="007A7BBC" w:rsidRDefault="007A7BBC" w:rsidP="007A7BBC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7A7BBC" w:rsidRDefault="007A7BBC" w:rsidP="007A7BBC">
      <w:pPr>
        <w:pStyle w:val="PlainText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Remain up to date on Equality and Inclusion responsibilities and best practice. </w:t>
      </w:r>
    </w:p>
    <w:p w:rsidR="00412EB9" w:rsidRDefault="00412EB9" w:rsidP="007A7BBC">
      <w:pPr>
        <w:pStyle w:val="ListParagraph"/>
        <w:spacing w:after="0"/>
        <w:rPr>
          <w:rFonts w:ascii="Gill Sans MT" w:hAnsi="Gill Sans MT"/>
          <w:sz w:val="24"/>
          <w:szCs w:val="24"/>
        </w:rPr>
      </w:pPr>
    </w:p>
    <w:p w:rsidR="00412EB9" w:rsidRPr="00B6436A" w:rsidRDefault="00412EB9" w:rsidP="007A7BBC">
      <w:pPr>
        <w:pStyle w:val="PlainText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Promote equality and inclusion work of CNPA and partners within the park. </w:t>
      </w:r>
    </w:p>
    <w:p w:rsidR="00B6436A" w:rsidRPr="00B6436A" w:rsidRDefault="00B6436A" w:rsidP="00B6436A">
      <w:pPr>
        <w:pStyle w:val="PlainText"/>
        <w:rPr>
          <w:rFonts w:ascii="Gill Sans MT" w:hAnsi="Gill Sans MT"/>
          <w:sz w:val="24"/>
          <w:szCs w:val="24"/>
        </w:rPr>
      </w:pPr>
    </w:p>
    <w:p w:rsidR="00547034" w:rsidRDefault="00547034" w:rsidP="00547034">
      <w:pPr>
        <w:pStyle w:val="PlainText"/>
        <w:rPr>
          <w:rFonts w:ascii="Gill Sans MT" w:hAnsi="Gill Sans MT"/>
          <w:sz w:val="24"/>
          <w:szCs w:val="24"/>
        </w:rPr>
      </w:pPr>
    </w:p>
    <w:p w:rsidR="00E83C51" w:rsidRDefault="00547034" w:rsidP="00547034">
      <w:pPr>
        <w:pStyle w:val="PlainTex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</w:t>
      </w:r>
      <w:proofErr w:type="gramStart"/>
      <w:r>
        <w:rPr>
          <w:rFonts w:ascii="Gill Sans MT" w:hAnsi="Gill Sans MT"/>
          <w:sz w:val="24"/>
          <w:szCs w:val="24"/>
        </w:rPr>
        <w:t>groups</w:t>
      </w:r>
      <w:proofErr w:type="gramEnd"/>
      <w:r>
        <w:rPr>
          <w:rFonts w:ascii="Gill Sans MT" w:hAnsi="Gill Sans MT"/>
          <w:sz w:val="24"/>
          <w:szCs w:val="24"/>
        </w:rPr>
        <w:t xml:space="preserve"> primary function is as an advisory group and the group is expected to: </w:t>
      </w:r>
    </w:p>
    <w:p w:rsidR="00547034" w:rsidRDefault="00547034" w:rsidP="00547034">
      <w:pPr>
        <w:pStyle w:val="PlainText"/>
        <w:rPr>
          <w:rFonts w:ascii="Gill Sans MT" w:hAnsi="Gill Sans MT"/>
          <w:sz w:val="24"/>
          <w:szCs w:val="24"/>
        </w:rPr>
      </w:pPr>
    </w:p>
    <w:p w:rsidR="00547034" w:rsidRDefault="00547034" w:rsidP="00547034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Provide </w:t>
      </w:r>
      <w:r w:rsidR="00685AE7">
        <w:rPr>
          <w:rFonts w:ascii="Gill Sans MT" w:hAnsi="Gill Sans MT"/>
          <w:sz w:val="24"/>
          <w:szCs w:val="24"/>
        </w:rPr>
        <w:t>up to date,</w:t>
      </w:r>
      <w:r w:rsidR="003719EC">
        <w:rPr>
          <w:rFonts w:ascii="Gill Sans MT" w:hAnsi="Gill Sans MT"/>
          <w:sz w:val="24"/>
          <w:szCs w:val="24"/>
        </w:rPr>
        <w:t xml:space="preserve"> authoritative and</w:t>
      </w:r>
      <w:r w:rsidR="00685AE7">
        <w:rPr>
          <w:rFonts w:ascii="Gill Sans MT" w:hAnsi="Gill Sans MT"/>
          <w:sz w:val="24"/>
          <w:szCs w:val="24"/>
        </w:rPr>
        <w:t xml:space="preserve"> evidenced-based advice and guidance on equality and inclusive practice and approaches.</w:t>
      </w:r>
    </w:p>
    <w:p w:rsidR="00685AE7" w:rsidRDefault="00685AE7" w:rsidP="00685AE7">
      <w:pPr>
        <w:pStyle w:val="PlainText"/>
        <w:ind w:left="720"/>
        <w:rPr>
          <w:rFonts w:ascii="Gill Sans MT" w:hAnsi="Gill Sans MT"/>
          <w:sz w:val="24"/>
          <w:szCs w:val="24"/>
        </w:rPr>
      </w:pPr>
    </w:p>
    <w:p w:rsidR="00685AE7" w:rsidRDefault="00685AE7" w:rsidP="00685AE7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Critically assess CNPA policy and strategy from an equalities perspective and provide recommendations to support CNPA officers to deliver best practice approaches to Equality and Inclusion</w:t>
      </w:r>
    </w:p>
    <w:p w:rsidR="00685AE7" w:rsidRPr="00685AE7" w:rsidRDefault="00685AE7" w:rsidP="00685AE7">
      <w:pPr>
        <w:pStyle w:val="PlainText"/>
        <w:rPr>
          <w:rFonts w:ascii="Gill Sans MT" w:hAnsi="Gill Sans MT"/>
          <w:sz w:val="24"/>
          <w:szCs w:val="24"/>
        </w:rPr>
      </w:pPr>
    </w:p>
    <w:p w:rsidR="00685AE7" w:rsidRDefault="00685AE7" w:rsidP="00547034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Provide support and guidance to complete high quality EQIAs during project and </w:t>
      </w:r>
      <w:bookmarkStart w:id="0" w:name="_GoBack"/>
      <w:bookmarkEnd w:id="0"/>
      <w:r>
        <w:rPr>
          <w:rFonts w:ascii="Gill Sans MT" w:hAnsi="Gill Sans MT"/>
          <w:sz w:val="24"/>
          <w:szCs w:val="24"/>
        </w:rPr>
        <w:t xml:space="preserve">service planning </w:t>
      </w:r>
    </w:p>
    <w:p w:rsidR="003F7F09" w:rsidRDefault="003F7F09" w:rsidP="003F7F09">
      <w:pPr>
        <w:pStyle w:val="ListParagraph"/>
        <w:rPr>
          <w:rFonts w:ascii="Gill Sans MT" w:hAnsi="Gill Sans MT"/>
          <w:sz w:val="24"/>
          <w:szCs w:val="24"/>
        </w:rPr>
      </w:pPr>
    </w:p>
    <w:p w:rsidR="00FA2EAC" w:rsidRDefault="00FA2EAC" w:rsidP="00547034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Highlight high risk areas around equalities issues that stem from the Park Authorities proposed corporate and operational plans</w:t>
      </w:r>
    </w:p>
    <w:p w:rsidR="00FA2EAC" w:rsidRPr="00FA2EAC" w:rsidRDefault="00FA2EAC" w:rsidP="00FA2EAC">
      <w:pPr>
        <w:ind w:left="360"/>
        <w:rPr>
          <w:rFonts w:ascii="Gill Sans MT" w:hAnsi="Gill Sans MT"/>
          <w:sz w:val="24"/>
          <w:szCs w:val="24"/>
        </w:rPr>
      </w:pPr>
    </w:p>
    <w:p w:rsidR="003F7F09" w:rsidRDefault="00FA2EAC" w:rsidP="00547034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Respond to requests </w:t>
      </w:r>
      <w:r w:rsidR="003F7F09">
        <w:rPr>
          <w:rFonts w:ascii="Gill Sans MT" w:hAnsi="Gill Sans MT"/>
          <w:sz w:val="24"/>
          <w:szCs w:val="24"/>
        </w:rPr>
        <w:t>for an</w:t>
      </w:r>
      <w:r w:rsidR="00906C30">
        <w:rPr>
          <w:rFonts w:ascii="Gill Sans MT" w:hAnsi="Gill Sans MT"/>
          <w:sz w:val="24"/>
          <w:szCs w:val="24"/>
        </w:rPr>
        <w:t xml:space="preserve">y specific </w:t>
      </w:r>
      <w:r w:rsidR="003F7F09">
        <w:rPr>
          <w:rFonts w:ascii="Gill Sans MT" w:hAnsi="Gill Sans MT"/>
          <w:sz w:val="24"/>
          <w:szCs w:val="24"/>
        </w:rPr>
        <w:t>equality review in collaboration with the relevant Head of Service.</w:t>
      </w:r>
      <w:r w:rsidR="003719EC">
        <w:rPr>
          <w:rFonts w:ascii="Gill Sans MT" w:hAnsi="Gill Sans MT"/>
          <w:sz w:val="24"/>
          <w:szCs w:val="24"/>
        </w:rPr>
        <w:t xml:space="preserve"> </w:t>
      </w:r>
    </w:p>
    <w:p w:rsidR="00E545A5" w:rsidRDefault="00E545A5" w:rsidP="00E545A5">
      <w:pPr>
        <w:pStyle w:val="ListParagraph"/>
        <w:rPr>
          <w:rFonts w:ascii="Gill Sans MT" w:hAnsi="Gill Sans MT"/>
          <w:sz w:val="24"/>
          <w:szCs w:val="24"/>
        </w:rPr>
      </w:pPr>
    </w:p>
    <w:p w:rsidR="00E545A5" w:rsidRDefault="00E545A5" w:rsidP="00547034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Facilitate a virtual feedback mechanism for CNPA staff to receive timely advice on equalities and inclusion in relation to their work programmes.</w:t>
      </w:r>
    </w:p>
    <w:p w:rsidR="00685AE7" w:rsidRDefault="00685AE7" w:rsidP="00685AE7">
      <w:pPr>
        <w:pStyle w:val="PlainText"/>
        <w:ind w:left="720"/>
        <w:rPr>
          <w:rFonts w:ascii="Gill Sans MT" w:hAnsi="Gill Sans MT"/>
          <w:sz w:val="24"/>
          <w:szCs w:val="24"/>
        </w:rPr>
      </w:pPr>
    </w:p>
    <w:p w:rsidR="00685AE7" w:rsidRDefault="00685AE7" w:rsidP="00547034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Signpost CNPA officers to appropriate best practice in equality approaches and share learning and knowledge with CNPA. </w:t>
      </w:r>
    </w:p>
    <w:p w:rsidR="00685AE7" w:rsidRDefault="00685AE7" w:rsidP="00685AE7">
      <w:pPr>
        <w:pStyle w:val="ListParagraph"/>
        <w:rPr>
          <w:rFonts w:ascii="Gill Sans MT" w:hAnsi="Gill Sans MT"/>
          <w:sz w:val="24"/>
          <w:szCs w:val="24"/>
        </w:rPr>
      </w:pPr>
    </w:p>
    <w:p w:rsidR="00685AE7" w:rsidRDefault="00685AE7" w:rsidP="00547034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Provide an annual forum to showcase equality work of CNPA and throughout the park. </w:t>
      </w:r>
    </w:p>
    <w:p w:rsidR="00685AE7" w:rsidRDefault="00685AE7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685AE7" w:rsidRDefault="00685AE7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685AE7" w:rsidRDefault="00685AE7" w:rsidP="00685AE7">
      <w:pPr>
        <w:pStyle w:val="PlainText"/>
        <w:rPr>
          <w:rFonts w:ascii="Gill Sans MT" w:hAnsi="Gill Sans MT"/>
          <w:sz w:val="24"/>
          <w:szCs w:val="24"/>
        </w:rPr>
      </w:pPr>
      <w:r w:rsidRPr="00B6436A">
        <w:rPr>
          <w:rFonts w:ascii="Gill Sans MT" w:hAnsi="Gill Sans MT"/>
          <w:sz w:val="24"/>
          <w:szCs w:val="24"/>
        </w:rPr>
        <w:t xml:space="preserve">The role of the group is specifically to support the </w:t>
      </w:r>
      <w:r>
        <w:rPr>
          <w:rFonts w:ascii="Gill Sans MT" w:hAnsi="Gill Sans MT"/>
          <w:sz w:val="24"/>
          <w:szCs w:val="24"/>
        </w:rPr>
        <w:t xml:space="preserve">CNPA in relation to its governance and policy development through an equalities lens. It is not a consultative group, although may advise how consultations can be designed to </w:t>
      </w:r>
      <w:r w:rsidR="00195370">
        <w:rPr>
          <w:rFonts w:ascii="Gill Sans MT" w:hAnsi="Gill Sans MT"/>
          <w:sz w:val="24"/>
          <w:szCs w:val="24"/>
        </w:rPr>
        <w:t>reach</w:t>
      </w:r>
      <w:r>
        <w:rPr>
          <w:rFonts w:ascii="Gill Sans MT" w:hAnsi="Gill Sans MT"/>
          <w:sz w:val="24"/>
          <w:szCs w:val="24"/>
        </w:rPr>
        <w:t xml:space="preserve"> certain equality groups. It has no decision making powers in relation to CNPA business, although it is expected the group</w:t>
      </w:r>
      <w:r w:rsidR="00402C6A">
        <w:rPr>
          <w:rFonts w:ascii="Gill Sans MT" w:hAnsi="Gill Sans MT"/>
          <w:sz w:val="24"/>
          <w:szCs w:val="24"/>
        </w:rPr>
        <w:t>’</w:t>
      </w:r>
      <w:r>
        <w:rPr>
          <w:rFonts w:ascii="Gill Sans MT" w:hAnsi="Gill Sans MT"/>
          <w:sz w:val="24"/>
          <w:szCs w:val="24"/>
        </w:rPr>
        <w:t xml:space="preserve">s recommendations will be taken into account as part of CNPAs decision making processes. </w:t>
      </w:r>
    </w:p>
    <w:p w:rsidR="00685AE7" w:rsidRDefault="00685AE7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685AE7" w:rsidRDefault="00685AE7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685AE7" w:rsidRDefault="00685AE7" w:rsidP="00685AE7">
      <w:pPr>
        <w:pStyle w:val="PlainText"/>
        <w:rPr>
          <w:rFonts w:ascii="Gill Sans MT" w:eastAsiaTheme="minorHAnsi" w:hAnsi="Gill Sans MT" w:cstheme="minorBidi"/>
          <w:b/>
          <w:sz w:val="24"/>
          <w:szCs w:val="24"/>
          <w:lang w:eastAsia="en-US"/>
        </w:rPr>
      </w:pPr>
      <w:r>
        <w:rPr>
          <w:rFonts w:ascii="Gill Sans MT" w:eastAsiaTheme="minorHAnsi" w:hAnsi="Gill Sans MT" w:cstheme="minorBidi"/>
          <w:b/>
          <w:sz w:val="24"/>
          <w:szCs w:val="24"/>
          <w:lang w:eastAsia="en-US"/>
        </w:rPr>
        <w:t>Membership</w:t>
      </w:r>
    </w:p>
    <w:p w:rsidR="00685AE7" w:rsidRDefault="00685AE7" w:rsidP="00685AE7">
      <w:pPr>
        <w:pStyle w:val="PlainText"/>
        <w:rPr>
          <w:rFonts w:ascii="Gill Sans MT" w:eastAsiaTheme="minorHAnsi" w:hAnsi="Gill Sans MT" w:cstheme="minorBidi"/>
          <w:b/>
          <w:sz w:val="24"/>
          <w:szCs w:val="24"/>
          <w:lang w:eastAsia="en-US"/>
        </w:rPr>
      </w:pPr>
    </w:p>
    <w:p w:rsidR="00685AE7" w:rsidRPr="00E545A5" w:rsidRDefault="00685AE7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  <w:r>
        <w:rPr>
          <w:rFonts w:ascii="Gill Sans MT" w:eastAsiaTheme="minorHAnsi" w:hAnsi="Gill Sans MT" w:cstheme="minorBidi"/>
          <w:b/>
          <w:sz w:val="24"/>
          <w:szCs w:val="24"/>
          <w:lang w:eastAsia="en-US"/>
        </w:rPr>
        <w:t xml:space="preserve">Chair: </w:t>
      </w:r>
      <w:r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The </w:t>
      </w:r>
      <w:r w:rsidRPr="00E545A5">
        <w:rPr>
          <w:rFonts w:ascii="Gill Sans MT" w:eastAsiaTheme="minorHAnsi" w:hAnsi="Gill Sans MT" w:cstheme="minorBidi"/>
          <w:sz w:val="24"/>
          <w:szCs w:val="24"/>
          <w:lang w:eastAsia="en-US"/>
        </w:rPr>
        <w:t>group is chaired by the CNPA board member with responsibility for Equality</w:t>
      </w:r>
      <w:r w:rsidR="003F7F09" w:rsidRPr="00E545A5"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 The chair will have a good working knowledge of both CNPA and equalities to ensure the group is effective. </w:t>
      </w:r>
    </w:p>
    <w:p w:rsidR="003F7F09" w:rsidRPr="00E545A5" w:rsidRDefault="003F7F09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E545A5" w:rsidRDefault="003F7F09" w:rsidP="00E545A5">
      <w:pPr>
        <w:spacing w:after="0" w:line="288" w:lineRule="atLeast"/>
        <w:rPr>
          <w:rFonts w:ascii="Gill Sans MT" w:eastAsia="Times New Roman" w:hAnsi="Gill Sans MT" w:cs="Arial"/>
          <w:sz w:val="24"/>
          <w:szCs w:val="24"/>
          <w:lang w:val="en" w:eastAsia="en-GB"/>
        </w:rPr>
      </w:pPr>
      <w:r w:rsidRPr="00E545A5">
        <w:rPr>
          <w:rFonts w:ascii="Gill Sans MT" w:hAnsi="Gill Sans MT"/>
          <w:b/>
          <w:sz w:val="24"/>
          <w:szCs w:val="24"/>
        </w:rPr>
        <w:t xml:space="preserve">Membership: </w:t>
      </w:r>
      <w:r w:rsidRPr="00E545A5">
        <w:rPr>
          <w:rFonts w:ascii="Gill Sans MT" w:hAnsi="Gill Sans MT"/>
          <w:sz w:val="24"/>
          <w:szCs w:val="24"/>
        </w:rPr>
        <w:t>As far as possible membership should have a wide range of knowledge of equality groups including but not limited to the nine protected characteristics (</w:t>
      </w:r>
      <w:r w:rsidR="00E545A5" w:rsidRPr="00E545A5">
        <w:rPr>
          <w:rFonts w:ascii="Gill Sans MT" w:eastAsia="Times New Roman" w:hAnsi="Gill Sans MT" w:cs="Arial"/>
          <w:sz w:val="24"/>
          <w:szCs w:val="24"/>
          <w:lang w:val="en" w:eastAsia="en-GB"/>
        </w:rPr>
        <w:t>age, disability, gender reassignment, marriage and civil partnership, pregnancy and maternity, race, religion or belief, sex and sexual orientation) consideration will also be given to other relevant factor</w:t>
      </w:r>
      <w:r w:rsidR="00402C6A">
        <w:rPr>
          <w:rFonts w:ascii="Gill Sans MT" w:eastAsia="Times New Roman" w:hAnsi="Gill Sans MT" w:cs="Arial"/>
          <w:sz w:val="24"/>
          <w:szCs w:val="24"/>
          <w:lang w:val="en" w:eastAsia="en-GB"/>
        </w:rPr>
        <w:t>s such as socio-economic status and mental wellbeing.</w:t>
      </w:r>
    </w:p>
    <w:p w:rsidR="00C61319" w:rsidRDefault="00C61319" w:rsidP="00E545A5">
      <w:pPr>
        <w:spacing w:after="0" w:line="288" w:lineRule="atLeast"/>
        <w:rPr>
          <w:rFonts w:ascii="Gill Sans MT" w:eastAsia="Times New Roman" w:hAnsi="Gill Sans MT" w:cs="Arial"/>
          <w:sz w:val="24"/>
          <w:szCs w:val="24"/>
          <w:lang w:val="en" w:eastAsia="en-GB"/>
        </w:rPr>
      </w:pPr>
    </w:p>
    <w:p w:rsidR="003F7F09" w:rsidRPr="00C61319" w:rsidRDefault="00C61319" w:rsidP="00C61319">
      <w:pPr>
        <w:spacing w:after="0" w:line="288" w:lineRule="atLeast"/>
        <w:rPr>
          <w:rFonts w:ascii="Gill Sans MT" w:eastAsia="Times New Roman" w:hAnsi="Gill Sans MT" w:cs="Arial"/>
          <w:sz w:val="20"/>
          <w:szCs w:val="20"/>
          <w:lang w:val="en" w:eastAsia="en-GB"/>
        </w:rPr>
      </w:pPr>
      <w:r>
        <w:rPr>
          <w:rFonts w:ascii="Gill Sans MT" w:eastAsia="Times New Roman" w:hAnsi="Gill Sans MT" w:cs="Arial"/>
          <w:sz w:val="24"/>
          <w:szCs w:val="24"/>
          <w:lang w:val="en" w:eastAsia="en-GB"/>
        </w:rPr>
        <w:t>Membership should reflect both local and national perspectives and representation. As far as possible membership should achieve a balance of representatives with a national and local focus.</w:t>
      </w:r>
    </w:p>
    <w:p w:rsidR="003F7F09" w:rsidRDefault="003F7F09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3F7F09" w:rsidRDefault="003F7F09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  <w:r>
        <w:rPr>
          <w:rFonts w:ascii="Gill Sans MT" w:eastAsiaTheme="minorHAnsi" w:hAnsi="Gill Sans MT" w:cstheme="minorBidi"/>
          <w:b/>
          <w:sz w:val="24"/>
          <w:szCs w:val="24"/>
          <w:lang w:eastAsia="en-US"/>
        </w:rPr>
        <w:t xml:space="preserve">Members: </w:t>
      </w:r>
      <w:r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Members will be recruited to </w:t>
      </w:r>
      <w:r w:rsidR="003719EC">
        <w:rPr>
          <w:rFonts w:ascii="Gill Sans MT" w:eastAsiaTheme="minorHAnsi" w:hAnsi="Gill Sans MT" w:cstheme="minorBidi"/>
          <w:sz w:val="24"/>
          <w:szCs w:val="24"/>
          <w:lang w:eastAsia="en-US"/>
        </w:rPr>
        <w:t>the</w:t>
      </w:r>
      <w:r w:rsidR="00E545A5"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 Equality Advisory Group</w:t>
      </w:r>
      <w:r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 </w:t>
      </w:r>
      <w:r w:rsidR="003719EC">
        <w:rPr>
          <w:rFonts w:ascii="Gill Sans MT" w:eastAsiaTheme="minorHAnsi" w:hAnsi="Gill Sans MT" w:cstheme="minorBidi"/>
          <w:sz w:val="24"/>
          <w:szCs w:val="24"/>
          <w:lang w:eastAsia="en-US"/>
        </w:rPr>
        <w:t>R</w:t>
      </w:r>
      <w:r w:rsidR="00E545A5">
        <w:rPr>
          <w:rFonts w:ascii="Gill Sans MT" w:eastAsiaTheme="minorHAnsi" w:hAnsi="Gill Sans MT" w:cstheme="minorBidi"/>
          <w:sz w:val="24"/>
          <w:szCs w:val="24"/>
          <w:lang w:eastAsia="en-US"/>
        </w:rPr>
        <w:t>ole</w:t>
      </w:r>
      <w:r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 </w:t>
      </w:r>
      <w:r w:rsidR="003719EC">
        <w:rPr>
          <w:rFonts w:ascii="Gill Sans MT" w:eastAsiaTheme="minorHAnsi" w:hAnsi="Gill Sans MT" w:cstheme="minorBidi"/>
          <w:sz w:val="24"/>
          <w:szCs w:val="24"/>
          <w:lang w:eastAsia="en-US"/>
        </w:rPr>
        <w:t>P</w:t>
      </w:r>
      <w:r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rofile and will have sufficient knowledge of equalities issues to provide informed advice and guidance to CNPA. Members should commit to a two year period and attend one face to face meeting a year. </w:t>
      </w:r>
    </w:p>
    <w:p w:rsidR="003F7F09" w:rsidRDefault="003F7F09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3F7F09" w:rsidRDefault="003F7F09" w:rsidP="00685AE7">
      <w:pPr>
        <w:pStyle w:val="PlainText"/>
        <w:rPr>
          <w:rFonts w:ascii="Gill Sans MT" w:eastAsiaTheme="minorHAnsi" w:hAnsi="Gill Sans MT" w:cstheme="minorBidi"/>
          <w:b/>
          <w:sz w:val="24"/>
          <w:szCs w:val="24"/>
          <w:lang w:eastAsia="en-US"/>
        </w:rPr>
      </w:pPr>
      <w:r>
        <w:rPr>
          <w:rFonts w:ascii="Gill Sans MT" w:eastAsiaTheme="minorHAnsi" w:hAnsi="Gill Sans MT" w:cstheme="minorBidi"/>
          <w:b/>
          <w:sz w:val="24"/>
          <w:szCs w:val="24"/>
          <w:lang w:eastAsia="en-US"/>
        </w:rPr>
        <w:t>Recruitment</w:t>
      </w:r>
    </w:p>
    <w:p w:rsidR="003F7F09" w:rsidRDefault="003F7F09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  <w:r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Members will be recruited during April/May 2020 by the Chair and CNPA representatives. </w:t>
      </w:r>
    </w:p>
    <w:p w:rsidR="00E545A5" w:rsidRDefault="00E545A5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E545A5" w:rsidRDefault="00E545A5" w:rsidP="00685AE7">
      <w:pPr>
        <w:pStyle w:val="PlainText"/>
        <w:rPr>
          <w:rFonts w:ascii="Gill Sans MT" w:eastAsiaTheme="minorHAnsi" w:hAnsi="Gill Sans MT" w:cstheme="minorBidi"/>
          <w:b/>
          <w:sz w:val="24"/>
          <w:szCs w:val="24"/>
          <w:lang w:eastAsia="en-US"/>
        </w:rPr>
      </w:pPr>
      <w:r>
        <w:rPr>
          <w:rFonts w:ascii="Gill Sans MT" w:eastAsiaTheme="minorHAnsi" w:hAnsi="Gill Sans MT" w:cstheme="minorBidi"/>
          <w:b/>
          <w:sz w:val="24"/>
          <w:szCs w:val="24"/>
          <w:lang w:eastAsia="en-US"/>
        </w:rPr>
        <w:t>Induction</w:t>
      </w:r>
    </w:p>
    <w:p w:rsidR="00E545A5" w:rsidRDefault="00E545A5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  <w:r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Members will be expected to attend CNPA induction which will be co-ordinated by CNPA staff. </w:t>
      </w:r>
    </w:p>
    <w:p w:rsidR="00E545A5" w:rsidRDefault="00E545A5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E545A5" w:rsidRDefault="00E545A5" w:rsidP="00685AE7">
      <w:pPr>
        <w:pStyle w:val="PlainText"/>
        <w:rPr>
          <w:rFonts w:ascii="Gill Sans MT" w:eastAsiaTheme="minorHAnsi" w:hAnsi="Gill Sans MT" w:cstheme="minorBidi"/>
          <w:b/>
          <w:sz w:val="24"/>
          <w:szCs w:val="24"/>
          <w:lang w:eastAsia="en-US"/>
        </w:rPr>
      </w:pPr>
      <w:r>
        <w:rPr>
          <w:rFonts w:ascii="Gill Sans MT" w:eastAsiaTheme="minorHAnsi" w:hAnsi="Gill Sans MT" w:cstheme="minorBidi"/>
          <w:b/>
          <w:sz w:val="24"/>
          <w:szCs w:val="24"/>
          <w:lang w:eastAsia="en-US"/>
        </w:rPr>
        <w:t>Meeting Minutes and Frequency</w:t>
      </w:r>
    </w:p>
    <w:p w:rsidR="00E545A5" w:rsidRPr="00E545A5" w:rsidRDefault="00E545A5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  <w:r>
        <w:rPr>
          <w:rFonts w:ascii="Gill Sans MT" w:eastAsiaTheme="minorHAnsi" w:hAnsi="Gill Sans MT" w:cstheme="minorBidi"/>
          <w:sz w:val="24"/>
          <w:szCs w:val="24"/>
          <w:lang w:eastAsia="en-US"/>
        </w:rPr>
        <w:t xml:space="preserve">To be decided by the group at the first initial meeting anticipated for June 2020. </w:t>
      </w:r>
    </w:p>
    <w:p w:rsidR="003F7F09" w:rsidRDefault="003F7F09" w:rsidP="00685AE7">
      <w:pPr>
        <w:pStyle w:val="PlainText"/>
        <w:rPr>
          <w:rFonts w:ascii="Gill Sans MT" w:eastAsiaTheme="minorHAnsi" w:hAnsi="Gill Sans MT" w:cstheme="minorBidi"/>
          <w:sz w:val="24"/>
          <w:szCs w:val="24"/>
          <w:lang w:eastAsia="en-US"/>
        </w:rPr>
      </w:pPr>
    </w:p>
    <w:p w:rsidR="003F7F09" w:rsidRPr="003F7F09" w:rsidRDefault="003F7F09" w:rsidP="00685AE7">
      <w:pPr>
        <w:pStyle w:val="PlainText"/>
        <w:rPr>
          <w:rFonts w:ascii="Gill Sans MT" w:hAnsi="Gill Sans MT"/>
          <w:b/>
          <w:sz w:val="24"/>
          <w:szCs w:val="24"/>
        </w:rPr>
      </w:pPr>
    </w:p>
    <w:sectPr w:rsidR="003F7F09" w:rsidRPr="003F7F09" w:rsidSect="006E35C9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77" w:rsidRDefault="00FA7477" w:rsidP="00F26CD4">
      <w:pPr>
        <w:spacing w:after="0" w:line="240" w:lineRule="auto"/>
      </w:pPr>
      <w:r>
        <w:separator/>
      </w:r>
    </w:p>
  </w:endnote>
  <w:endnote w:type="continuationSeparator" w:id="0">
    <w:p w:rsidR="00FA7477" w:rsidRDefault="00FA7477" w:rsidP="00F2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77" w:rsidRDefault="00FA7477" w:rsidP="00F26CD4">
      <w:pPr>
        <w:spacing w:after="0" w:line="240" w:lineRule="auto"/>
      </w:pPr>
      <w:r>
        <w:separator/>
      </w:r>
    </w:p>
  </w:footnote>
  <w:footnote w:type="continuationSeparator" w:id="0">
    <w:p w:rsidR="00FA7477" w:rsidRDefault="00FA7477" w:rsidP="00F2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D4" w:rsidRDefault="00906C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6902563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D4" w:rsidRDefault="00906C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6902564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D4" w:rsidRDefault="00906C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6902562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746"/>
    <w:multiLevelType w:val="multilevel"/>
    <w:tmpl w:val="A584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60F37"/>
    <w:multiLevelType w:val="hybridMultilevel"/>
    <w:tmpl w:val="6C86D470"/>
    <w:lvl w:ilvl="0" w:tplc="C51EB2D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onsola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45F3"/>
    <w:multiLevelType w:val="hybridMultilevel"/>
    <w:tmpl w:val="5FBC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4E0B"/>
    <w:multiLevelType w:val="hybridMultilevel"/>
    <w:tmpl w:val="73AC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77258"/>
    <w:multiLevelType w:val="hybridMultilevel"/>
    <w:tmpl w:val="CC4AB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B5AA4"/>
    <w:multiLevelType w:val="hybridMultilevel"/>
    <w:tmpl w:val="16D0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6A"/>
    <w:rsid w:val="00095AD3"/>
    <w:rsid w:val="00195370"/>
    <w:rsid w:val="00317A87"/>
    <w:rsid w:val="003719EC"/>
    <w:rsid w:val="003F7F09"/>
    <w:rsid w:val="00402C6A"/>
    <w:rsid w:val="00412EB9"/>
    <w:rsid w:val="00547034"/>
    <w:rsid w:val="00573CF2"/>
    <w:rsid w:val="00685AE7"/>
    <w:rsid w:val="006D633C"/>
    <w:rsid w:val="006E35C9"/>
    <w:rsid w:val="007A7BBC"/>
    <w:rsid w:val="00906C30"/>
    <w:rsid w:val="00925441"/>
    <w:rsid w:val="00996C9A"/>
    <w:rsid w:val="00A77F9A"/>
    <w:rsid w:val="00B6436A"/>
    <w:rsid w:val="00B658CB"/>
    <w:rsid w:val="00C61319"/>
    <w:rsid w:val="00E545A5"/>
    <w:rsid w:val="00E83C51"/>
    <w:rsid w:val="00EC3569"/>
    <w:rsid w:val="00F047EE"/>
    <w:rsid w:val="00F26CD4"/>
    <w:rsid w:val="00FA2EAC"/>
    <w:rsid w:val="00F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D839FEB-D90F-4FE2-B493-71416728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436A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6436A"/>
    <w:rPr>
      <w:rFonts w:ascii="Consolas" w:eastAsia="Times New Roman" w:hAnsi="Consolas" w:cs="Consolas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412E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D4"/>
  </w:style>
  <w:style w:type="paragraph" w:styleId="Footer">
    <w:name w:val="footer"/>
    <w:basedOn w:val="Normal"/>
    <w:link w:val="FooterChar"/>
    <w:uiPriority w:val="99"/>
    <w:unhideWhenUsed/>
    <w:rsid w:val="00F2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D4"/>
  </w:style>
  <w:style w:type="paragraph" w:styleId="BalloonText">
    <w:name w:val="Balloon Text"/>
    <w:basedOn w:val="Normal"/>
    <w:link w:val="BalloonTextChar"/>
    <w:uiPriority w:val="99"/>
    <w:semiHidden/>
    <w:unhideWhenUsed/>
    <w:rsid w:val="0037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Christie</dc:creator>
  <cp:lastModifiedBy>Kate Christie</cp:lastModifiedBy>
  <cp:revision>3</cp:revision>
  <cp:lastPrinted>2020-03-02T10:47:00Z</cp:lastPrinted>
  <dcterms:created xsi:type="dcterms:W3CDTF">2020-03-17T12:13:00Z</dcterms:created>
  <dcterms:modified xsi:type="dcterms:W3CDTF">2020-03-17T17:23:00Z</dcterms:modified>
</cp:coreProperties>
</file>